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GS-6c</w:t>
      </w:r>
    </w:p>
    <w:p>
      <w:pPr>
        <w:spacing w:after="120"/>
      </w:pPr>
      <w:r>
        <w:rPr>
          <w:rFonts w:ascii="Calibri" w:cs="Calibri" w:eastAsia="Calibri" w:hAnsi="Calibri"/>
          <w:b/>
          <w:bCs/>
          <w:color w:val="1F3864"/>
          <w:sz w:val="52"/>
          <w:szCs w:val="52"/>
        </w:rPr>
        <w:t xml:space="preserve">Data Breach — General</w:t>
      </w:r>
    </w:p>
    <w:p>
      <w:pPr>
        <w:spacing w:after="100"/>
      </w:pPr>
      <w:r>
        <w:rPr>
          <w:rFonts w:ascii="Calibri" w:cs="Calibri" w:eastAsia="Calibri" w:hAnsi="Calibri"/>
          <w:color w:val="595959"/>
          <w:sz w:val="24"/>
          <w:szCs w:val="24"/>
        </w:rPr>
        <w:t xml:space="preserve">PII Exposure and State Breach Notification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 with Regulatory Notification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 communication, and coordination under two clocks — the regulatory notification timeline and the researcher’s publication deadline — not technical forensics.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focus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General: PII exposure (employee and customer data), state breach notification laws (varying timelines), customer communication, credit monitoring decisions</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IT, HR, Legal, Operations, Customer Service/Account Management</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Breach scope, state notification compliance, customer communication, employee data handling, credit monitoring, media response</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type] organization with [CUSTOMIZE: number] employees and [CUSTOMIZE: number] customers/clients. The organization stores [CUSTOMIZE: PII types — names, addresses, SSNs, payment card data, driver’s license numbers, email addresses, phone numbers] for both employees and customers in [CUSTOMIZE: CRM / ERP / HR system / file server].</w:t>
      </w:r>
    </w:p>
    <w:p>
      <w:pPr>
        <w:spacing w:after="120" w:before="0" w:line="276"/>
      </w:pPr>
      <w:r>
        <w:rPr>
          <w:rFonts w:ascii="Calibri" w:cs="Calibri" w:eastAsia="Calibri" w:hAnsi="Calibri"/>
          <w:color w:val="404040"/>
          <w:sz w:val="21"/>
          <w:szCs w:val="21"/>
        </w:rPr>
        <w:t xml:space="preserve">It is [CUSTOMIZE: day] afternoon. Your IT team discovers that a database containing customer and employee records has been publicly accessible on the internet for an unknown period. The database was exposed due to [CUSTOMIZE: a cloud storage misconfiguration / a web application vulnerability / an unpatched server / a developer accidentally publishing test data containing real records]. The exposure was discovered when a security researcher contacted you through your website’s general email address.</w:t>
      </w:r>
    </w:p>
    <w:p>
      <w:pPr>
        <w:pStyle w:val="Heading2"/>
        <w:keepNext/>
        <w:spacing w:after="110" w:before="240"/>
      </w:pPr>
      <w:r>
        <w:rPr>
          <w:rFonts w:ascii="Calibri" w:cs="Calibri" w:eastAsia="Calibri" w:hAnsi="Calibri"/>
          <w:b/>
          <w:bCs/>
          <w:color w:val="2E74B5"/>
          <w:sz w:val="25"/>
          <w:szCs w:val="25"/>
        </w:rPr>
        <w:t xml:space="preserve">Module 1: Discovery and Assessment (25–30 minutes)</w:t>
      </w:r>
    </w:p>
    <w:p>
      <w:pPr>
        <w:spacing w:after="120" w:before="0" w:line="276"/>
      </w:pPr>
      <w:r>
        <w:rPr>
          <w:rFonts w:ascii="Calibri" w:cs="Calibri" w:eastAsia="Calibri" w:hAnsi="Calibri"/>
          <w:color w:val="404040"/>
          <w:sz w:val="21"/>
          <w:szCs w:val="21"/>
        </w:rPr>
        <w:t xml:space="preserve">A stranger has just told you your database was open to the internet — and proved it. Module 1 establishes what was exposed, for how long, and what the researcher’s 30-day publication plan does to your decision timeline.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The database was publicly accessible with no way to know who accessed it. How do you determine the risk to affected individuals?</w:t>
      </w:r>
    </w:p>
    <w:p>
      <w:pPr>
        <w:pStyle w:val="ListParagraph"/>
        <w:numPr>
          <w:ilvl w:val="0"/>
          <w:numId w:val="2"/>
        </w:numPr>
        <w:spacing w:after="80" w:line="276"/>
      </w:pPr>
      <w:r>
        <w:rPr>
          <w:rFonts w:ascii="Calibri" w:cs="Calibri" w:eastAsia="Calibri" w:hAnsi="Calibri"/>
          <w:color w:val="404040"/>
          <w:sz w:val="21"/>
          <w:szCs w:val="21"/>
        </w:rPr>
        <w:t xml:space="preserve">The researcher plans to publish in 30 days. Does that change your notification timeline?</w:t>
      </w:r>
    </w:p>
    <w:p>
      <w:pPr>
        <w:pStyle w:val="ListParagraph"/>
        <w:numPr>
          <w:ilvl w:val="0"/>
          <w:numId w:val="2"/>
        </w:numPr>
        <w:spacing w:after="80" w:line="276"/>
      </w:pPr>
      <w:r>
        <w:rPr>
          <w:rFonts w:ascii="Calibri" w:cs="Calibri" w:eastAsia="Calibri" w:hAnsi="Calibri"/>
          <w:color w:val="404040"/>
          <w:sz w:val="21"/>
          <w:szCs w:val="21"/>
        </w:rPr>
        <w:t xml:space="preserve">Employee data was included. How does notifying employees differ from notifying customers?</w:t>
      </w:r>
    </w:p>
    <w:p>
      <w:pPr>
        <w:pStyle w:val="ListParagraph"/>
        <w:numPr>
          <w:ilvl w:val="0"/>
          <w:numId w:val="2"/>
        </w:numPr>
        <w:spacing w:after="80" w:line="276"/>
      </w:pPr>
      <w:r>
        <w:rPr>
          <w:rFonts w:ascii="Calibri" w:cs="Calibri" w:eastAsia="Calibri" w:hAnsi="Calibri"/>
          <w:color w:val="404040"/>
          <w:sz w:val="21"/>
          <w:szCs w:val="21"/>
        </w:rPr>
        <w:t xml:space="preserve">You don’t know how long the database was exposed. What is the significance of that for your notification obligations?</w:t>
      </w:r>
    </w:p>
    <w:p>
      <w:pPr>
        <w:pStyle w:val="ListParagraph"/>
        <w:numPr>
          <w:ilvl w:val="0"/>
          <w:numId w:val="2"/>
        </w:numPr>
        <w:spacing w:after="80" w:line="276"/>
      </w:pPr>
      <w:r>
        <w:rPr>
          <w:rFonts w:ascii="Calibri" w:cs="Calibri" w:eastAsia="Calibri" w:hAnsi="Calibri"/>
          <w:color w:val="404040"/>
          <w:sz w:val="21"/>
          <w:szCs w:val="21"/>
        </w:rPr>
        <w:t xml:space="preserve">What do you say to the researcher today, and who owns that relationship for the next 30 days?</w:t>
      </w:r>
    </w:p>
    <w:p>
      <w:pPr>
        <w:pStyle w:val="Heading2"/>
        <w:keepNext/>
        <w:spacing w:after="110" w:before="240"/>
      </w:pPr>
      <w:r>
        <w:rPr>
          <w:rFonts w:ascii="Calibri" w:cs="Calibri" w:eastAsia="Calibri" w:hAnsi="Calibri"/>
          <w:b/>
          <w:bCs/>
          <w:color w:val="2E74B5"/>
          <w:sz w:val="25"/>
          <w:szCs w:val="25"/>
        </w:rPr>
        <w:t xml:space="preserve">Module 2: Notification and Response (25–30 minutes)</w:t>
      </w:r>
    </w:p>
    <w:p>
      <w:pPr>
        <w:spacing w:after="120" w:before="0" w:line="276"/>
      </w:pPr>
      <w:r>
        <w:rPr>
          <w:rFonts w:ascii="Calibri" w:cs="Calibri" w:eastAsia="Calibri" w:hAnsi="Calibri"/>
          <w:color w:val="404040"/>
          <w:sz w:val="21"/>
          <w:szCs w:val="21"/>
        </w:rPr>
        <w:t xml:space="preserve">Notification is no longer hypothetical: multiple states, employees as well as customers, a credit-monitoring bill, and a story that breaks before your letters land. Module 2 tests operational execution under public pressure.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Multi-state notification with different timelines and requirements. How do you manage this operationally?</w:t>
      </w:r>
    </w:p>
    <w:p>
      <w:pPr>
        <w:pStyle w:val="ListParagraph"/>
        <w:numPr>
          <w:ilvl w:val="0"/>
          <w:numId w:val="2"/>
        </w:numPr>
        <w:spacing w:after="80" w:line="276"/>
      </w:pPr>
      <w:r>
        <w:rPr>
          <w:rFonts w:ascii="Calibri" w:cs="Calibri" w:eastAsia="Calibri" w:hAnsi="Calibri"/>
          <w:color w:val="404040"/>
          <w:sz w:val="21"/>
          <w:szCs w:val="21"/>
        </w:rPr>
        <w:t xml:space="preserve">Credit monitoring: legally required, morally expected, or optional? What is the business case for offering it?</w:t>
      </w:r>
    </w:p>
    <w:p>
      <w:pPr>
        <w:pStyle w:val="ListParagraph"/>
        <w:numPr>
          <w:ilvl w:val="0"/>
          <w:numId w:val="2"/>
        </w:numPr>
        <w:spacing w:after="80" w:line="276"/>
      </w:pPr>
      <w:r>
        <w:rPr>
          <w:rFonts w:ascii="Calibri" w:cs="Calibri" w:eastAsia="Calibri" w:hAnsi="Calibri"/>
          <w:color w:val="404040"/>
          <w:sz w:val="21"/>
          <w:szCs w:val="21"/>
        </w:rPr>
        <w:t xml:space="preserve">The news broke before your notification. How does that change your communication strategy?</w:t>
      </w:r>
    </w:p>
    <w:p>
      <w:pPr>
        <w:pStyle w:val="ListParagraph"/>
        <w:numPr>
          <w:ilvl w:val="0"/>
          <w:numId w:val="2"/>
        </w:numPr>
        <w:spacing w:after="80" w:line="276"/>
      </w:pPr>
      <w:r>
        <w:rPr>
          <w:rFonts w:ascii="Calibri" w:cs="Calibri" w:eastAsia="Calibri" w:hAnsi="Calibri"/>
          <w:color w:val="404040"/>
          <w:sz w:val="21"/>
          <w:szCs w:val="21"/>
        </w:rPr>
        <w:t xml:space="preserve">Customers are angry. How do you respond to the question: “How did you let this happen?”</w:t>
      </w:r>
    </w:p>
    <w:p>
      <w:pPr>
        <w:pStyle w:val="ListParagraph"/>
        <w:numPr>
          <w:ilvl w:val="0"/>
          <w:numId w:val="2"/>
        </w:numPr>
        <w:spacing w:after="80" w:line="276"/>
      </w:pPr>
      <w:r>
        <w:rPr>
          <w:rFonts w:ascii="Calibri" w:cs="Calibri" w:eastAsia="Calibri" w:hAnsi="Calibri"/>
          <w:color w:val="404040"/>
          <w:sz w:val="21"/>
          <w:szCs w:val="21"/>
        </w:rPr>
        <w:t xml:space="preserve">Who fields the surge of customer calls, and what are they authorized to say?</w:t>
      </w:r>
    </w:p>
    <w:p>
      <w:pPr>
        <w:pStyle w:val="Heading2"/>
        <w:keepNext/>
        <w:spacing w:after="110" w:before="240"/>
      </w:pPr>
      <w:r>
        <w:rPr>
          <w:rFonts w:ascii="Calibri" w:cs="Calibri" w:eastAsia="Calibri" w:hAnsi="Calibri"/>
          <w:b/>
          <w:bCs/>
          <w:color w:val="2E74B5"/>
          <w:sz w:val="25"/>
          <w:szCs w:val="25"/>
        </w:rPr>
        <w:t xml:space="preserve">Module 3: Remediation and Prevention (20–25 minutes)</w:t>
      </w:r>
    </w:p>
    <w:p>
      <w:pPr>
        <w:spacing w:after="120" w:before="0" w:line="276"/>
      </w:pPr>
      <w:r>
        <w:rPr>
          <w:rFonts w:ascii="Calibri" w:cs="Calibri" w:eastAsia="Calibri" w:hAnsi="Calibri"/>
          <w:color w:val="404040"/>
          <w:sz w:val="21"/>
          <w:szCs w:val="21"/>
        </w:rPr>
        <w:t xml:space="preserve">The cause was a configuration error nobody was watching for. Module 3 tests whether the organization converts the incident into systemic change — and whether the prevention-versus-breach arithmetic changes how security investment is decided.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The root cause was a configuration error with no monitoring. What systemic changes would have caught this before it became a breach?</w:t>
      </w:r>
    </w:p>
    <w:p>
      <w:pPr>
        <w:pStyle w:val="ListParagraph"/>
        <w:numPr>
          <w:ilvl w:val="0"/>
          <w:numId w:val="2"/>
        </w:numPr>
        <w:spacing w:after="80" w:line="276"/>
      </w:pPr>
      <w:r>
        <w:rPr>
          <w:rFonts w:ascii="Calibri" w:cs="Calibri" w:eastAsia="Calibri" w:hAnsi="Calibri"/>
          <w:color w:val="404040"/>
          <w:sz w:val="21"/>
          <w:szCs w:val="21"/>
        </w:rPr>
        <w:t xml:space="preserve">Compare the prevention cost to the breach cost. What does that tell you about your security investment priorities?</w:t>
      </w:r>
    </w:p>
    <w:p>
      <w:pPr>
        <w:pStyle w:val="ListParagraph"/>
        <w:numPr>
          <w:ilvl w:val="0"/>
          <w:numId w:val="2"/>
        </w:numPr>
        <w:spacing w:after="80" w:line="276"/>
      </w:pPr>
      <w:r>
        <w:rPr>
          <w:rFonts w:ascii="Calibri" w:cs="Calibri" w:eastAsia="Calibri" w:hAnsi="Calibri"/>
          <w:color w:val="404040"/>
          <w:sz w:val="21"/>
          <w:szCs w:val="21"/>
        </w:rPr>
        <w:t xml:space="preserve">What other misconfigurations or exposures might exist that you haven’t discovered yet?</w:t>
      </w:r>
    </w:p>
    <w:p>
      <w:pPr>
        <w:pStyle w:val="ListParagraph"/>
        <w:numPr>
          <w:ilvl w:val="0"/>
          <w:numId w:val="2"/>
        </w:numPr>
        <w:spacing w:after="80" w:line="276"/>
      </w:pPr>
      <w:r>
        <w:rPr>
          <w:rFonts w:ascii="Calibri" w:cs="Calibri" w:eastAsia="Calibri" w:hAnsi="Calibri"/>
          <w:color w:val="404040"/>
          <w:sz w:val="21"/>
          <w:szCs w:val="21"/>
        </w:rPr>
        <w:t xml:space="preserve">What would a deeper review of your data handling, cloud configuration, and monitoring capabilities need to examine — and who would commission it?</w:t>
      </w:r>
    </w:p>
    <w:p>
      <w:pPr>
        <w:pStyle w:val="ListParagraph"/>
        <w:numPr>
          <w:ilvl w:val="0"/>
          <w:numId w:val="2"/>
        </w:numPr>
        <w:spacing w:after="80" w:line="276"/>
      </w:pPr>
      <w:r>
        <w:rPr>
          <w:rFonts w:ascii="Calibri" w:cs="Calibri" w:eastAsia="Calibri" w:hAnsi="Calibri"/>
          <w:color w:val="404040"/>
          <w:sz w:val="21"/>
          <w:szCs w:val="21"/>
        </w:rPr>
        <w:t xml:space="preserve">Which of the changes discussed today would you fund this quarter, and who owns each one?</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The Exposure is Real</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IT team confirms: a database containing [CUSTOMIZE: customer / employee / both] records was publicly accessible. The researcher who reported it provides a sample of records they downloaded to prove the exposure is genuine. The database contains [CUSTOMIZE: number] records including [CUSTOMIZE: data elements]. The IT team says: “We’ve secured the database now. But we have no way to know who else accessed it or for how long it was exposed.”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The Researcher’s Timeline</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security researcher’s full disclosure email is circulated to the leadership team. It details how the database was found, confirms a sample was downloaded for verification, and sets a 30-day publication deadline: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Security Researcher Disclosure Email</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From:</w:t>
            </w:r>
            <w:r>
              <w:rPr>
                <w:rFonts w:ascii="Consolas" w:cs="Consolas" w:eastAsia="Consolas" w:hAnsi="Consolas"/>
                <w:color w:val="404040"/>
                <w:sz w:val="19"/>
                <w:szCs w:val="19"/>
              </w:rPr>
              <w:t xml:space="preserve"> [CUSTOMIZE: researcher name] &lt;[CUSTOMIZE: email address]&gt;</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To:</w:t>
            </w:r>
            <w:r>
              <w:rPr>
                <w:rFonts w:ascii="Consolas" w:cs="Consolas" w:eastAsia="Consolas" w:hAnsi="Consolas"/>
                <w:color w:val="404040"/>
                <w:sz w:val="19"/>
                <w:szCs w:val="19"/>
              </w:rPr>
              <w:t xml:space="preserve"> info@[organization domain]</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Subject:</w:t>
            </w:r>
            <w:r>
              <w:rPr>
                <w:rFonts w:ascii="Consolas" w:cs="Consolas" w:eastAsia="Consolas" w:hAnsi="Consolas"/>
                <w:color w:val="404040"/>
                <w:sz w:val="19"/>
                <w:szCs w:val="19"/>
              </w:rPr>
              <w:t xml:space="preserve"> Responsible disclosure — publicly accessible database containing your customer and employee records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To whom it may concern,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I am an independent security researcher. On [CUSTOMIZE: date], I identified a database belonging to [ORGANIZATION NAME] that was publicly accessible on the internet without authentication. I located it through [CUSTOMIZE: a search engine / a specialized scanning tool] [CUSTOMIZE: 3 days ago / 2 weeks ago].</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To verify the exposure was genuine, I downloaded a small sample of records, which I include below. I have not shared the data with anyone, and I will delete my copy once you confirm remediation. However, I cannot confirm whether others found the database before I did.</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In line with standard responsible disclosure practice, I intend to publish my findings in 30 days, on [CUSTOMIZE: date], regardless of your response. If you remediate promptly and notify affected individuals, my write-up will reflect that.</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Will you be issuing a public disclosure? I am happy to coordinate timing.</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[CUSTOMIZE: researcher name]</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Employee Data Included</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HR reviews the exposed database and discovers it includes not just customer records but also [CUSTOMIZE: number] employee records containing [CUSTOMIZE: SSNs, salary information, direct deposit bank account numbers, home addresses, emergency contacts]. The HR director says: “We have to notify our own employees that their personal information was exposed. How do we tell our staff that we failed to protect their data?”</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participants grasp that exposure without access logs still triggers most notification obligations; whether both clocks — the researcher’s 30-day publication deadline and the statutory notification timelines — are named and tracked; the instinctive reaction to the researcher (hostility versus engagement); how the room reacts to employees being among the affected. Document the unknown exposure duration and any missing monitoring capability as findings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State Law Complexity</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legal counsel presents: “You have affected individuals in [CUSTOMIZE: number] states. Each state has its own breach notification law with different trigger criteria, notification timelines, and content requirements. [CUSTOMIZE: Your home state requires notification within 30 days. State X requires 45 days. State Y requires 60 days but mandates notification to the AG before individual notification. State Z has a 24-hour notification requirement for breaches involving SSNs.] This is not one notification — it’s [CUSTOMIZE: number] separate notification processes.”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Credit Monitoring Decision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CFO asks: “Credit monitoring for [CUSTOMIZE: number] affected individuals at $[CUSTOMIZE: amount] per person for 12 months will cost approximately $[CUSTOMIZE: total]. Is this legally required or voluntary? If voluntary, is it worth the cost? What happens if we don’t offer it and someone experiences identity theft?”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Media and Customer Response</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A technology blog publishes an article about database exposures, mentioning your organization by name (the researcher shared the information with a journalist despite their claim of responsible disclosure). Customers are now aware of the breach before receiving your notification letter. Your customer service line is lighting up: “Is this true? Is my information safe? What are you going to do about it?”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Technology Blog Article — Excerpt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[TECH BLOG NAME] — [CUSTOMIZE: date]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Another Day, Another Open Database: [ORGANIZATION NAME] Left [CUSTOMIZE: number] Records Exposed</w:t>
            </w: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[ORGANIZATION NAME], a [CUSTOMIZE: organization type] based in [CUSTOMIZE: city], is the latest organization to leave a production database publicly accessible — no password, no authentication, just an open door.</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According to the security researcher who located the database, the records included [CUSTOMIZE: data elements] for both customers and employees. The researcher says the company has since secured the database but has not yet said how long it was exposed — or whether affected individuals have been told.</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[ORGANIZATION NAME] did not respond to a request for comment before publication.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Comments ([CUSTOMIZE: 240+]) — top comment: “How does this keep happening?”</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whether multi-state notification is treated as one project with a matrix of deadlines and owners, or improvised state by state; the quality of the credit-monitoring reasoning — legal minimum versus reputational calculus; how the communication strategy changes once the story breaks before notification. Where nobody can describe how the multi-state process would actually run, document it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Root Cause and Systemic Questions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IT team completes the root cause analysis: the database exposure was caused by [CUSTOMIZE: a cloud storage misconfiguration during a system migration / a developer error / a failure to apply security patches / an unsecured API endpoint]. The configuration had been in place for [CUSTOMIZE: weeks / months]. No monitoring tool detected the exposure. The IT team acknowledges: “We don’t have a process for auditing our cloud configurations or scanning for exposed assets.”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Prevention Investment Question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CEO asks: “What would it cost to prevent this from happening again versus what this breach is costing us now? Give me the comparison.” The CFO estimates total breach costs: [CUSTOMIZE: notification $X + credit monitoring $X + legal fees $X + lost customers $X + staff time $X + potential regulatory fines $X = Total $X]. The IT director estimates prevention costs: [CUSTOMIZE: cloud security configuration review $X + monitoring tools $X + regular security assessments $X + staff training $X = Total $X].</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remediation extends beyond fixing the one database to configuration auditing, external exposure scanning, and ongoing monitoring; whether the prevention-versus-breach cost comparison lands and produces funded actions with owners; who asks “what else is exposed that we haven’t found?” Document the absence of configuration auditing and exposure monitoring, and any unfunded prevention actions, as findings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Database exposure confirmed by security researcher</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assessment, immediate containment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Researcher timeline, 30-day publication warning</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Disclosure timeline pressure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data included in the exposure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Internal notification, employee trust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Multi-state notification complexity</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compliance, operational execution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Credit monitoring cost and decision</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analysis, legal vs. moral obligation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Media publishes before notification, customer calls spike</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Crisis communication, reputation management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Root cause: configuration error, no monitoring</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Systemic remediation, security posture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Prevention cost vs. breach cost comparison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Investment prioritization, security funding case</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General Data Breach — Database Exposure Focus</w:t>
      </w:r>
    </w:p>
    <w:p>
      <w:pPr>
        <w:spacing w:after="120" w:before="0" w:line="276"/>
      </w:pPr>
      <w:r>
        <w:rPr>
          <w:rFonts w:ascii="Calibri" w:cs="Calibri" w:eastAsia="Calibri" w:hAnsi="Calibri"/>
          <w:color w:val="404040"/>
          <w:sz w:val="21"/>
          <w:szCs w:val="21"/>
        </w:rPr>
        <w:t xml:space="preserve">This scenario involves a publicly accessible database discovered by a security researcher — not an “attack” in the traditional sense. This framing often disarms participants who expect an adversary. The finding that “a configuration error exposed our data to the entire internet” is often more unsettling than a sophisticated attack because it implies a fundamental gap in security hygiene.</w:t>
      </w:r>
    </w:p>
    <w:p>
      <w:pPr>
        <w:spacing w:after="120" w:before="0" w:line="276"/>
      </w:pPr>
      <w:r>
        <w:rPr>
          <w:rFonts w:ascii="Calibri" w:cs="Calibri" w:eastAsia="Calibri" w:hAnsi="Calibri"/>
          <w:color w:val="404040"/>
          <w:sz w:val="21"/>
          <w:szCs w:val="21"/>
        </w:rPr>
        <w:t xml:space="preserve">The researcher’s 30-day publication deadline creates time pressure that is separate from the regulatory notification timeline. Managing both clocks simultaneously — responsible disclosure and regulatory compliance — is a facilitation challenge. Keep both visible to participants throughout.</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“How did no one notice this?”</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“That’s the right question. Do you have any monitoring that would detect a publicly accessible database? Any external scanning? Any configuration auditing? If the researcher hadn’t found it, how long would it have been exposed?”</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should threaten the researcher with legal action”</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researcher found your vulnerability, reported it responsibly, and gave you time to respond. Threatening them alienates the security community, creates negative press, and doesn’t change the fact that the data was exposed. What does a constructive response look like?”</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don’t know if anyone else saw it”</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“Exactly. And you can’t know. Most breach notification laws don’t require proof of access — they require notification when data was reasonably exposed. The database was public. That’s exposure.”</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data surprises them</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employees’ SSNs, salaries, and bank account numbers were in the same database as customer data. How does notifying your own staff differ from notifying customers? What is the internal trust impact?”</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the prevention-vs-breach cost comparison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is the exercise’s most important calculation. The CFO just showed you that prevention would have cost 10% of what this breach is costing. Walk through that number. Is it convincing? What would you fund tomorrow?”</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“Credit monitoring isn’t legally required”</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“Maybe not in your jurisdiction. But when your customers Google your company name and see ‘data breach’ next to ‘no credit monitoring offered,’ what does that do to your reputation? What is the cost of that headline vs. $15 per person?”</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legal name from the Client Intake Packet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Professional services firm</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industry</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types exposed</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Names, addresses, SSNs, email addresses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actual PII the client stores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Record count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8,000 customer records; 150 employee records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client’s actual customer/employee base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Exposure cause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Cloud storage misconfiguration</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realistic for client’s technology environment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States with affected individuals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 states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client’s actual geographic footprint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Credit monitoring cost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 per person × affected count</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$10–$25 per person × affected count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Prevention vs. breach cost comparison</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Prevention ≈ 10% of breach cost</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both figures to client size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GS-6c Data Breach — General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2026-07-14T20:01:41.354Z</dcterms:created>
  <dcterms:modified xsi:type="dcterms:W3CDTF">2026-07-14T20:01:41.355Z</dcterms:modified>
</cp:coreProperties>
</file>

<file path=docProps/custom.xml><?xml version="1.0" encoding="utf-8"?>
<Properties xmlns="http://schemas.openxmlformats.org/officeDocument/2006/custom-properties" xmlns:vt="http://schemas.openxmlformats.org/officeDocument/2006/docPropsVTypes"/>
</file>